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2D7" w:rsidRDefault="00B832D7" w:rsidP="00B832D7">
      <w:pPr>
        <w:jc w:val="left"/>
        <w:rPr>
          <w:rFonts w:ascii="Times New Roman" w:hAnsi="Times New Roman"/>
          <w:b/>
          <w:sz w:val="24"/>
          <w:szCs w:val="24"/>
        </w:rPr>
      </w:pPr>
      <w:r>
        <w:rPr>
          <w:rFonts w:ascii="Times New Roman" w:hAnsi="Times New Roman"/>
          <w:b/>
          <w:sz w:val="24"/>
          <w:szCs w:val="24"/>
        </w:rPr>
        <w:t>ACAD</w:t>
      </w:r>
      <w:r w:rsidR="00F01AB8">
        <w:rPr>
          <w:rFonts w:ascii="Times New Roman" w:hAnsi="Times New Roman"/>
          <w:b/>
          <w:sz w:val="24"/>
          <w:szCs w:val="24"/>
        </w:rPr>
        <w:t>É</w:t>
      </w:r>
      <w:bookmarkStart w:id="0" w:name="_GoBack"/>
      <w:bookmarkEnd w:id="0"/>
      <w:r>
        <w:rPr>
          <w:rFonts w:ascii="Times New Roman" w:hAnsi="Times New Roman"/>
          <w:b/>
          <w:sz w:val="24"/>
          <w:szCs w:val="24"/>
        </w:rPr>
        <w:t xml:space="preserve">MIE D’AGRICULTURE DE FRANCE </w:t>
      </w:r>
    </w:p>
    <w:p w:rsidR="00B832D7" w:rsidRDefault="00B832D7" w:rsidP="00B832D7">
      <w:pPr>
        <w:jc w:val="left"/>
        <w:rPr>
          <w:rFonts w:ascii="Times New Roman" w:hAnsi="Times New Roman"/>
          <w:b/>
          <w:sz w:val="24"/>
          <w:szCs w:val="24"/>
        </w:rPr>
      </w:pPr>
    </w:p>
    <w:p w:rsidR="007D5806" w:rsidRPr="00B832D7" w:rsidRDefault="00D61129" w:rsidP="00D82EC5">
      <w:pPr>
        <w:jc w:val="center"/>
        <w:rPr>
          <w:rFonts w:ascii="Times New Roman" w:hAnsi="Times New Roman"/>
          <w:b/>
          <w:sz w:val="28"/>
          <w:szCs w:val="28"/>
        </w:rPr>
      </w:pPr>
      <w:r w:rsidRPr="00B832D7">
        <w:rPr>
          <w:rFonts w:ascii="Times New Roman" w:hAnsi="Times New Roman"/>
          <w:b/>
          <w:sz w:val="28"/>
          <w:szCs w:val="28"/>
        </w:rPr>
        <w:t>Synthèse de l</w:t>
      </w:r>
      <w:r w:rsidR="001D332F" w:rsidRPr="00B832D7">
        <w:rPr>
          <w:rFonts w:ascii="Times New Roman" w:hAnsi="Times New Roman"/>
          <w:b/>
          <w:sz w:val="28"/>
          <w:szCs w:val="28"/>
        </w:rPr>
        <w:t xml:space="preserve">a séance publique </w:t>
      </w:r>
      <w:r w:rsidRPr="00B832D7">
        <w:rPr>
          <w:rFonts w:ascii="Times New Roman" w:hAnsi="Times New Roman"/>
          <w:b/>
          <w:sz w:val="28"/>
          <w:szCs w:val="28"/>
        </w:rPr>
        <w:t xml:space="preserve">: </w:t>
      </w:r>
      <w:r w:rsidR="001D332F" w:rsidRPr="00B832D7">
        <w:rPr>
          <w:rFonts w:ascii="Times New Roman" w:hAnsi="Times New Roman"/>
          <w:b/>
          <w:sz w:val="28"/>
          <w:szCs w:val="28"/>
        </w:rPr>
        <w:t>« </w:t>
      </w:r>
      <w:r w:rsidRPr="00B832D7">
        <w:rPr>
          <w:rFonts w:ascii="Times New Roman" w:hAnsi="Times New Roman"/>
          <w:b/>
          <w:sz w:val="28"/>
          <w:szCs w:val="28"/>
        </w:rPr>
        <w:t xml:space="preserve">Bois et </w:t>
      </w:r>
      <w:proofErr w:type="gramStart"/>
      <w:r w:rsidRPr="00B832D7">
        <w:rPr>
          <w:rFonts w:ascii="Times New Roman" w:hAnsi="Times New Roman"/>
          <w:b/>
          <w:sz w:val="28"/>
          <w:szCs w:val="28"/>
        </w:rPr>
        <w:t>aliments</w:t>
      </w:r>
      <w:r w:rsidR="008A6882" w:rsidRPr="00B832D7">
        <w:rPr>
          <w:rFonts w:ascii="Times New Roman" w:hAnsi="Times New Roman"/>
          <w:b/>
          <w:sz w:val="28"/>
          <w:szCs w:val="28"/>
        </w:rPr>
        <w:t>:</w:t>
      </w:r>
      <w:proofErr w:type="gramEnd"/>
      <w:r w:rsidR="008A6882" w:rsidRPr="00B832D7">
        <w:rPr>
          <w:rFonts w:ascii="Times New Roman" w:hAnsi="Times New Roman"/>
          <w:b/>
          <w:sz w:val="28"/>
          <w:szCs w:val="28"/>
        </w:rPr>
        <w:t xml:space="preserve"> amis ou ennemis</w:t>
      </w:r>
      <w:r w:rsidR="001D332F" w:rsidRPr="00B832D7">
        <w:rPr>
          <w:rFonts w:ascii="Times New Roman" w:hAnsi="Times New Roman"/>
          <w:b/>
          <w:sz w:val="28"/>
          <w:szCs w:val="28"/>
        </w:rPr>
        <w:t> ? »</w:t>
      </w:r>
    </w:p>
    <w:p w:rsidR="00B832D7" w:rsidRPr="00B832D7" w:rsidRDefault="007D5806" w:rsidP="007D5806">
      <w:pPr>
        <w:jc w:val="center"/>
        <w:rPr>
          <w:rFonts w:ascii="Times New Roman" w:hAnsi="Times New Roman"/>
          <w:b/>
          <w:sz w:val="28"/>
          <w:szCs w:val="28"/>
        </w:rPr>
      </w:pPr>
      <w:r w:rsidRPr="00B832D7">
        <w:rPr>
          <w:rFonts w:ascii="Times New Roman" w:hAnsi="Times New Roman"/>
          <w:b/>
          <w:sz w:val="28"/>
          <w:szCs w:val="28"/>
        </w:rPr>
        <w:t>Responsables :</w:t>
      </w:r>
      <w:r w:rsidR="00F01AB8">
        <w:rPr>
          <w:rFonts w:ascii="Times New Roman" w:hAnsi="Times New Roman"/>
          <w:b/>
          <w:sz w:val="28"/>
          <w:szCs w:val="28"/>
        </w:rPr>
        <w:t xml:space="preserve"> </w:t>
      </w:r>
      <w:r w:rsidR="00F01AB8" w:rsidRPr="00B832D7">
        <w:rPr>
          <w:rFonts w:ascii="Times New Roman" w:hAnsi="Times New Roman"/>
          <w:b/>
          <w:sz w:val="28"/>
          <w:szCs w:val="28"/>
        </w:rPr>
        <w:t>Bernard Thibaut (S 2)</w:t>
      </w:r>
      <w:r w:rsidR="00F01AB8">
        <w:rPr>
          <w:rFonts w:ascii="Times New Roman" w:hAnsi="Times New Roman"/>
          <w:b/>
          <w:sz w:val="28"/>
          <w:szCs w:val="28"/>
        </w:rPr>
        <w:t xml:space="preserve"> &amp;</w:t>
      </w:r>
      <w:r w:rsidRPr="00B832D7">
        <w:rPr>
          <w:rFonts w:ascii="Times New Roman" w:hAnsi="Times New Roman"/>
          <w:b/>
          <w:sz w:val="28"/>
          <w:szCs w:val="28"/>
        </w:rPr>
        <w:t xml:space="preserve"> Sophie Villers (S 8) </w:t>
      </w:r>
    </w:p>
    <w:p w:rsidR="007D5806" w:rsidRPr="00B832D7" w:rsidRDefault="007D5806" w:rsidP="007D5806">
      <w:pPr>
        <w:jc w:val="center"/>
        <w:rPr>
          <w:rFonts w:ascii="Times New Roman" w:hAnsi="Times New Roman"/>
          <w:b/>
          <w:sz w:val="28"/>
          <w:szCs w:val="28"/>
        </w:rPr>
      </w:pPr>
      <w:r w:rsidRPr="00B832D7">
        <w:rPr>
          <w:rFonts w:ascii="Times New Roman" w:hAnsi="Times New Roman"/>
          <w:b/>
          <w:sz w:val="28"/>
          <w:szCs w:val="28"/>
        </w:rPr>
        <w:t>Mercredi 20 mars 2019</w:t>
      </w:r>
    </w:p>
    <w:p w:rsidR="007D5806" w:rsidRPr="00D82EC5" w:rsidRDefault="007D5806" w:rsidP="007D5806">
      <w:pPr>
        <w:rPr>
          <w:rFonts w:ascii="Times New Roman" w:hAnsi="Times New Roman"/>
          <w:sz w:val="24"/>
          <w:szCs w:val="24"/>
          <w:u w:val="single"/>
        </w:rPr>
      </w:pPr>
    </w:p>
    <w:p w:rsidR="006C28D4" w:rsidRPr="00D82EC5" w:rsidRDefault="006C28D4" w:rsidP="003321B1">
      <w:pPr>
        <w:ind w:firstLine="708"/>
        <w:rPr>
          <w:rFonts w:ascii="Times New Roman" w:hAnsi="Times New Roman"/>
          <w:sz w:val="24"/>
          <w:szCs w:val="24"/>
        </w:rPr>
      </w:pPr>
      <w:r w:rsidRPr="00D82EC5">
        <w:rPr>
          <w:rFonts w:ascii="Times New Roman" w:hAnsi="Times New Roman"/>
          <w:sz w:val="24"/>
          <w:szCs w:val="24"/>
        </w:rPr>
        <w:t xml:space="preserve">En introduction </w:t>
      </w:r>
      <w:r w:rsidRPr="00D82EC5">
        <w:rPr>
          <w:rFonts w:ascii="Times New Roman" w:hAnsi="Times New Roman"/>
          <w:b/>
          <w:sz w:val="24"/>
          <w:szCs w:val="24"/>
        </w:rPr>
        <w:t>Bernard Thibaut</w:t>
      </w:r>
      <w:r w:rsidRPr="00D82EC5">
        <w:rPr>
          <w:rFonts w:ascii="Times New Roman" w:hAnsi="Times New Roman"/>
          <w:sz w:val="24"/>
          <w:szCs w:val="24"/>
        </w:rPr>
        <w:t xml:space="preserve"> a décrit rapidement </w:t>
      </w:r>
      <w:r w:rsidR="008A6882" w:rsidRPr="00D82EC5">
        <w:rPr>
          <w:rFonts w:ascii="Times New Roman" w:hAnsi="Times New Roman"/>
          <w:sz w:val="24"/>
          <w:szCs w:val="24"/>
        </w:rPr>
        <w:t>la structure physicochimique du bois à différentes échelles</w:t>
      </w:r>
      <w:r w:rsidR="003321B1" w:rsidRPr="00D82EC5">
        <w:rPr>
          <w:rFonts w:ascii="Times New Roman" w:hAnsi="Times New Roman"/>
          <w:sz w:val="24"/>
          <w:szCs w:val="24"/>
        </w:rPr>
        <w:t>,</w:t>
      </w:r>
      <w:r w:rsidR="008A6882" w:rsidRPr="00D82EC5">
        <w:rPr>
          <w:rFonts w:ascii="Times New Roman" w:hAnsi="Times New Roman"/>
          <w:sz w:val="24"/>
          <w:szCs w:val="24"/>
        </w:rPr>
        <w:t xml:space="preserve"> en indiquant les conséquences en matière de comportement mécanique, physique, chimique et microbiologique quant à la capacité des bois à servir de support ou de contenant pour les aliments.</w:t>
      </w:r>
    </w:p>
    <w:p w:rsidR="003321B1" w:rsidRPr="00D82EC5" w:rsidRDefault="003321B1" w:rsidP="003321B1">
      <w:pPr>
        <w:ind w:firstLine="708"/>
        <w:rPr>
          <w:rFonts w:ascii="Times New Roman" w:hAnsi="Times New Roman"/>
          <w:sz w:val="24"/>
          <w:szCs w:val="24"/>
        </w:rPr>
      </w:pPr>
    </w:p>
    <w:p w:rsidR="00A27365" w:rsidRPr="00D82EC5" w:rsidRDefault="008A6882" w:rsidP="003321B1">
      <w:pPr>
        <w:ind w:firstLine="708"/>
        <w:rPr>
          <w:rFonts w:ascii="Times New Roman" w:hAnsi="Times New Roman"/>
          <w:sz w:val="24"/>
          <w:szCs w:val="24"/>
        </w:rPr>
      </w:pPr>
      <w:r w:rsidRPr="00D82EC5">
        <w:rPr>
          <w:rFonts w:ascii="Times New Roman" w:hAnsi="Times New Roman"/>
          <w:sz w:val="24"/>
          <w:szCs w:val="24"/>
        </w:rPr>
        <w:t>Trois exposés d’acteurs du monde professionnel des secteurs emballage léger pour fruits et légumes, affinage des fromages et élevage ses vins ont apporté des éclairages sur les pratiques, les problèmes et les perspectives de l’emploi du bois en contact alimentaire.</w:t>
      </w:r>
    </w:p>
    <w:p w:rsidR="007D5806" w:rsidRPr="00D82EC5" w:rsidRDefault="007D5806" w:rsidP="003321B1">
      <w:pPr>
        <w:ind w:firstLine="708"/>
        <w:rPr>
          <w:rFonts w:ascii="Times New Roman" w:hAnsi="Times New Roman"/>
          <w:sz w:val="24"/>
          <w:szCs w:val="24"/>
        </w:rPr>
      </w:pPr>
    </w:p>
    <w:p w:rsidR="006C28D4" w:rsidRPr="00D82EC5" w:rsidRDefault="006C28D4" w:rsidP="003321B1">
      <w:pPr>
        <w:pStyle w:val="Default"/>
        <w:ind w:firstLine="708"/>
        <w:jc w:val="both"/>
        <w:rPr>
          <w:rFonts w:ascii="Times New Roman" w:hAnsi="Times New Roman" w:cs="Times New Roman"/>
        </w:rPr>
      </w:pPr>
      <w:r w:rsidRPr="00D82EC5">
        <w:rPr>
          <w:rFonts w:ascii="Times New Roman" w:hAnsi="Times New Roman"/>
          <w:b/>
        </w:rPr>
        <w:t xml:space="preserve">Olivier de </w:t>
      </w:r>
      <w:proofErr w:type="spellStart"/>
      <w:r w:rsidRPr="00D82EC5">
        <w:rPr>
          <w:rFonts w:ascii="Times New Roman" w:hAnsi="Times New Roman"/>
          <w:b/>
        </w:rPr>
        <w:t>Lagausie</w:t>
      </w:r>
      <w:proofErr w:type="spellEnd"/>
      <w:r w:rsidRPr="00D82EC5">
        <w:rPr>
          <w:rFonts w:ascii="Times New Roman" w:hAnsi="Times New Roman"/>
        </w:rPr>
        <w:t xml:space="preserve">, </w:t>
      </w:r>
      <w:r w:rsidRPr="00D82EC5">
        <w:rPr>
          <w:rFonts w:ascii="Times New Roman" w:hAnsi="Times New Roman" w:cs="Times New Roman"/>
        </w:rPr>
        <w:t>délégué général du Syndicat des industries de l'emballage léger en bois (SIEL) a d’</w:t>
      </w:r>
      <w:r w:rsidR="00A27365" w:rsidRPr="00D82EC5">
        <w:rPr>
          <w:rFonts w:ascii="Times New Roman" w:hAnsi="Times New Roman" w:cs="Times New Roman"/>
        </w:rPr>
        <w:t>abord présenté le sec</w:t>
      </w:r>
      <w:r w:rsidRPr="00D82EC5">
        <w:rPr>
          <w:rFonts w:ascii="Times New Roman" w:hAnsi="Times New Roman" w:cs="Times New Roman"/>
        </w:rPr>
        <w:t>teur des fabricants d’emballages en bois.</w:t>
      </w:r>
    </w:p>
    <w:p w:rsidR="006C28D4" w:rsidRPr="00D82EC5" w:rsidRDefault="008A6882" w:rsidP="003321B1">
      <w:pPr>
        <w:ind w:firstLine="708"/>
        <w:rPr>
          <w:rFonts w:ascii="Times New Roman" w:hAnsi="Times New Roman"/>
          <w:sz w:val="24"/>
          <w:szCs w:val="24"/>
        </w:rPr>
      </w:pPr>
      <w:r w:rsidRPr="00D82EC5">
        <w:rPr>
          <w:rFonts w:ascii="Times New Roman" w:hAnsi="Times New Roman"/>
          <w:sz w:val="24"/>
          <w:szCs w:val="24"/>
        </w:rPr>
        <w:t>Cagettes, cageots, bourriches, barquettes, caissettes, représentent une multitude d’emballages légers pour des secteurs aussi divers que les fruits et légumes, l’ostréiculture, les fromages, les pains ou les boissons. C’est un secteur de petites entreprises qui maille complètement le territoire hexagonal à proximité de la ressource et des producteurs d’aliments.</w:t>
      </w:r>
    </w:p>
    <w:p w:rsidR="006C28D4" w:rsidRPr="00D82EC5" w:rsidRDefault="008A6882" w:rsidP="003321B1">
      <w:pPr>
        <w:ind w:firstLine="708"/>
        <w:rPr>
          <w:rFonts w:ascii="Times New Roman" w:hAnsi="Times New Roman"/>
          <w:sz w:val="24"/>
          <w:szCs w:val="24"/>
        </w:rPr>
      </w:pPr>
      <w:r w:rsidRPr="00D82EC5">
        <w:rPr>
          <w:rFonts w:ascii="Times New Roman" w:hAnsi="Times New Roman"/>
          <w:sz w:val="24"/>
          <w:szCs w:val="24"/>
        </w:rPr>
        <w:t>Au cours  du dernier siècle, ce secteur a subi la concurrence très forte du carton et du plastique</w:t>
      </w:r>
      <w:r w:rsidR="00A605C7" w:rsidRPr="00D82EC5">
        <w:rPr>
          <w:rFonts w:ascii="Times New Roman" w:hAnsi="Times New Roman"/>
          <w:sz w:val="24"/>
          <w:szCs w:val="24"/>
        </w:rPr>
        <w:t>, souvent plus sur des aspects commerciaux (message publicitaire sur l’emballage, organisation des circuits de la grande distribution) que techniques ou même de prix. Néanmoins l’emballage léger en bois continue de représenter le tiers des emballages de fruits et légumes.</w:t>
      </w:r>
    </w:p>
    <w:p w:rsidR="006C28D4" w:rsidRPr="00D82EC5" w:rsidRDefault="00A605C7" w:rsidP="003321B1">
      <w:pPr>
        <w:ind w:firstLine="708"/>
        <w:rPr>
          <w:rFonts w:ascii="Times New Roman" w:hAnsi="Times New Roman"/>
          <w:sz w:val="24"/>
          <w:szCs w:val="24"/>
        </w:rPr>
      </w:pPr>
      <w:r w:rsidRPr="00D82EC5">
        <w:rPr>
          <w:rFonts w:ascii="Times New Roman" w:hAnsi="Times New Roman"/>
          <w:sz w:val="24"/>
          <w:szCs w:val="24"/>
        </w:rPr>
        <w:t xml:space="preserve">La profession s’est largement mobilisée pour répondre aux interrogations sur les risques sanitaires liés au contact bois/aliment, à travers des programmes, comme </w:t>
      </w:r>
      <w:proofErr w:type="spellStart"/>
      <w:r w:rsidRPr="00D82EC5">
        <w:rPr>
          <w:rFonts w:ascii="Times New Roman" w:hAnsi="Times New Roman"/>
          <w:sz w:val="24"/>
          <w:szCs w:val="24"/>
        </w:rPr>
        <w:t>Emabois</w:t>
      </w:r>
      <w:proofErr w:type="spellEnd"/>
      <w:r w:rsidRPr="00D82EC5">
        <w:rPr>
          <w:rFonts w:ascii="Times New Roman" w:hAnsi="Times New Roman"/>
          <w:sz w:val="24"/>
          <w:szCs w:val="24"/>
        </w:rPr>
        <w:t xml:space="preserve"> ou </w:t>
      </w:r>
      <w:proofErr w:type="spellStart"/>
      <w:r w:rsidRPr="00D82EC5">
        <w:rPr>
          <w:rFonts w:ascii="Times New Roman" w:hAnsi="Times New Roman"/>
          <w:sz w:val="24"/>
          <w:szCs w:val="24"/>
        </w:rPr>
        <w:t>Embalim</w:t>
      </w:r>
      <w:proofErr w:type="spellEnd"/>
      <w:r w:rsidRPr="00D82EC5">
        <w:rPr>
          <w:rFonts w:ascii="Times New Roman" w:hAnsi="Times New Roman"/>
          <w:sz w:val="24"/>
          <w:szCs w:val="24"/>
        </w:rPr>
        <w:t xml:space="preserve">, </w:t>
      </w:r>
      <w:r w:rsidR="001D332F" w:rsidRPr="00D82EC5">
        <w:rPr>
          <w:rFonts w:ascii="Times New Roman" w:hAnsi="Times New Roman"/>
          <w:sz w:val="24"/>
          <w:szCs w:val="24"/>
        </w:rPr>
        <w:t xml:space="preserve">soutenus par l’interprofession France Bois Forêt, </w:t>
      </w:r>
      <w:r w:rsidRPr="00D82EC5">
        <w:rPr>
          <w:rFonts w:ascii="Times New Roman" w:hAnsi="Times New Roman"/>
          <w:sz w:val="24"/>
          <w:szCs w:val="24"/>
        </w:rPr>
        <w:t>qui ont prouvé l’innocuité des migrations chimiques du bois vers les aliments et</w:t>
      </w:r>
      <w:r w:rsidR="00B832D7">
        <w:rPr>
          <w:rFonts w:ascii="Times New Roman" w:hAnsi="Times New Roman"/>
          <w:sz w:val="24"/>
          <w:szCs w:val="24"/>
        </w:rPr>
        <w:t xml:space="preserve"> la</w:t>
      </w:r>
      <w:r w:rsidRPr="00D82EC5">
        <w:rPr>
          <w:rFonts w:ascii="Times New Roman" w:hAnsi="Times New Roman"/>
          <w:sz w:val="24"/>
          <w:szCs w:val="24"/>
        </w:rPr>
        <w:t xml:space="preserve"> capacité</w:t>
      </w:r>
      <w:r w:rsidR="00B832D7">
        <w:rPr>
          <w:rFonts w:ascii="Times New Roman" w:hAnsi="Times New Roman"/>
          <w:sz w:val="24"/>
          <w:szCs w:val="24"/>
        </w:rPr>
        <w:t xml:space="preserve"> de ce dernier</w:t>
      </w:r>
      <w:r w:rsidRPr="00D82EC5">
        <w:rPr>
          <w:rFonts w:ascii="Times New Roman" w:hAnsi="Times New Roman"/>
          <w:sz w:val="24"/>
          <w:szCs w:val="24"/>
        </w:rPr>
        <w:t xml:space="preserve"> à inhiber le développement et la migration des pathogènes. Dans le même temps, les analyses de cycle de vie ont </w:t>
      </w:r>
      <w:r w:rsidR="000145A9">
        <w:rPr>
          <w:rFonts w:ascii="Times New Roman" w:hAnsi="Times New Roman"/>
          <w:sz w:val="24"/>
          <w:szCs w:val="24"/>
        </w:rPr>
        <w:t>dé</w:t>
      </w:r>
      <w:r w:rsidRPr="00D82EC5">
        <w:rPr>
          <w:rFonts w:ascii="Times New Roman" w:hAnsi="Times New Roman"/>
          <w:sz w:val="24"/>
          <w:szCs w:val="24"/>
        </w:rPr>
        <w:t>montré l’avantage très net du bois en matière environnementale.</w:t>
      </w:r>
    </w:p>
    <w:p w:rsidR="00A605C7" w:rsidRPr="00D82EC5" w:rsidRDefault="00A605C7" w:rsidP="003321B1">
      <w:pPr>
        <w:ind w:firstLine="708"/>
        <w:rPr>
          <w:rFonts w:ascii="Times New Roman" w:hAnsi="Times New Roman"/>
          <w:sz w:val="24"/>
          <w:szCs w:val="24"/>
        </w:rPr>
      </w:pPr>
      <w:r w:rsidRPr="00D82EC5">
        <w:rPr>
          <w:rFonts w:ascii="Times New Roman" w:hAnsi="Times New Roman"/>
          <w:sz w:val="24"/>
          <w:szCs w:val="24"/>
        </w:rPr>
        <w:t>La situation actuelle est paradoxale : le bois a une image forte</w:t>
      </w:r>
      <w:r w:rsidR="001D332F" w:rsidRPr="00D82EC5">
        <w:rPr>
          <w:rFonts w:ascii="Times New Roman" w:hAnsi="Times New Roman"/>
          <w:sz w:val="24"/>
          <w:szCs w:val="24"/>
        </w:rPr>
        <w:t>ment positive</w:t>
      </w:r>
      <w:r w:rsidRPr="00D82EC5">
        <w:rPr>
          <w:rFonts w:ascii="Times New Roman" w:hAnsi="Times New Roman"/>
          <w:sz w:val="24"/>
          <w:szCs w:val="24"/>
        </w:rPr>
        <w:t xml:space="preserve"> mise en avant dans la communication des produits alimentaires, mais les règlementations diverses peuvent avoir des effets négatifs faute d</w:t>
      </w:r>
      <w:r w:rsidR="006C28D4" w:rsidRPr="00D82EC5">
        <w:rPr>
          <w:rFonts w:ascii="Times New Roman" w:hAnsi="Times New Roman"/>
          <w:sz w:val="24"/>
          <w:szCs w:val="24"/>
        </w:rPr>
        <w:t>’</w:t>
      </w:r>
      <w:r w:rsidRPr="00D82EC5">
        <w:rPr>
          <w:rFonts w:ascii="Times New Roman" w:hAnsi="Times New Roman"/>
          <w:sz w:val="24"/>
          <w:szCs w:val="24"/>
        </w:rPr>
        <w:t>une vis</w:t>
      </w:r>
      <w:r w:rsidR="006C28D4" w:rsidRPr="00D82EC5">
        <w:rPr>
          <w:rFonts w:ascii="Times New Roman" w:hAnsi="Times New Roman"/>
          <w:sz w:val="24"/>
          <w:szCs w:val="24"/>
        </w:rPr>
        <w:t>i</w:t>
      </w:r>
      <w:r w:rsidRPr="00D82EC5">
        <w:rPr>
          <w:rFonts w:ascii="Times New Roman" w:hAnsi="Times New Roman"/>
          <w:sz w:val="24"/>
          <w:szCs w:val="24"/>
        </w:rPr>
        <w:t>on cohérente de la filière allant de la forêt au recyclage dans un secteur assez mal connu finalement.</w:t>
      </w:r>
    </w:p>
    <w:p w:rsidR="006C28D4" w:rsidRPr="00D82EC5" w:rsidRDefault="006C28D4" w:rsidP="003321B1">
      <w:pPr>
        <w:ind w:firstLine="708"/>
        <w:rPr>
          <w:rFonts w:ascii="Times New Roman" w:hAnsi="Times New Roman"/>
          <w:sz w:val="24"/>
          <w:szCs w:val="24"/>
        </w:rPr>
      </w:pPr>
    </w:p>
    <w:p w:rsidR="00A27365" w:rsidRPr="00D82EC5" w:rsidRDefault="00A27365" w:rsidP="003321B1">
      <w:pPr>
        <w:autoSpaceDE w:val="0"/>
        <w:autoSpaceDN w:val="0"/>
        <w:adjustRightInd w:val="0"/>
        <w:ind w:firstLine="708"/>
        <w:rPr>
          <w:rFonts w:ascii="Times New Roman" w:hAnsi="Times New Roman"/>
          <w:color w:val="000000"/>
          <w:sz w:val="24"/>
          <w:szCs w:val="24"/>
        </w:rPr>
      </w:pPr>
      <w:proofErr w:type="spellStart"/>
      <w:r w:rsidRPr="00D82EC5">
        <w:rPr>
          <w:rFonts w:ascii="Times New Roman" w:hAnsi="Times New Roman"/>
          <w:b/>
          <w:color w:val="000000"/>
          <w:sz w:val="24"/>
          <w:szCs w:val="24"/>
        </w:rPr>
        <w:t>Eric</w:t>
      </w:r>
      <w:proofErr w:type="spellEnd"/>
      <w:r w:rsidRPr="00D82EC5">
        <w:rPr>
          <w:rFonts w:ascii="Times New Roman" w:hAnsi="Times New Roman"/>
          <w:b/>
          <w:color w:val="000000"/>
          <w:sz w:val="24"/>
          <w:szCs w:val="24"/>
        </w:rPr>
        <w:t xml:space="preserve"> </w:t>
      </w:r>
      <w:proofErr w:type="spellStart"/>
      <w:r w:rsidRPr="00D82EC5">
        <w:rPr>
          <w:rFonts w:ascii="Times New Roman" w:hAnsi="Times New Roman"/>
          <w:b/>
          <w:color w:val="000000"/>
          <w:sz w:val="24"/>
          <w:szCs w:val="24"/>
        </w:rPr>
        <w:t>Notz</w:t>
      </w:r>
      <w:proofErr w:type="spellEnd"/>
      <w:r w:rsidRPr="00D82EC5">
        <w:rPr>
          <w:rFonts w:ascii="Times New Roman" w:hAnsi="Times New Roman"/>
          <w:b/>
          <w:color w:val="000000"/>
          <w:sz w:val="24"/>
          <w:szCs w:val="24"/>
        </w:rPr>
        <w:t xml:space="preserve">, </w:t>
      </w:r>
      <w:r w:rsidRPr="00D82EC5">
        <w:rPr>
          <w:rFonts w:ascii="Times New Roman" w:hAnsi="Times New Roman"/>
          <w:color w:val="000000"/>
          <w:sz w:val="24"/>
          <w:szCs w:val="24"/>
        </w:rPr>
        <w:t>directeur du Centre technique des fromages Comtois (CTFC) a illustré la question de l’affinage des fromages AOP.</w:t>
      </w:r>
    </w:p>
    <w:p w:rsidR="00F90C67" w:rsidRPr="00D82EC5" w:rsidRDefault="00A27365" w:rsidP="003321B1">
      <w:pPr>
        <w:autoSpaceDE w:val="0"/>
        <w:autoSpaceDN w:val="0"/>
        <w:adjustRightInd w:val="0"/>
        <w:ind w:firstLine="708"/>
        <w:rPr>
          <w:rFonts w:ascii="Times New Roman" w:hAnsi="Times New Roman"/>
          <w:sz w:val="24"/>
          <w:szCs w:val="24"/>
        </w:rPr>
      </w:pPr>
      <w:r w:rsidRPr="00D82EC5">
        <w:rPr>
          <w:rFonts w:ascii="Times New Roman" w:hAnsi="Times New Roman"/>
          <w:sz w:val="24"/>
          <w:szCs w:val="24"/>
        </w:rPr>
        <w:t xml:space="preserve">La France est un pays aux fromages réputés </w:t>
      </w:r>
      <w:r w:rsidR="00F90C67" w:rsidRPr="00D82EC5">
        <w:rPr>
          <w:rFonts w:ascii="Times New Roman" w:hAnsi="Times New Roman"/>
          <w:sz w:val="24"/>
          <w:szCs w:val="24"/>
        </w:rPr>
        <w:t>faisant souvent l’objet d’une appellation d’origine protégée (AOP) dont le cahier des charges inclut le bois</w:t>
      </w:r>
      <w:r w:rsidR="001D332F" w:rsidRPr="00D82EC5">
        <w:rPr>
          <w:rFonts w:ascii="Times New Roman" w:hAnsi="Times New Roman"/>
          <w:sz w:val="24"/>
          <w:szCs w:val="24"/>
        </w:rPr>
        <w:t>, souvent d’épicéa,</w:t>
      </w:r>
      <w:r w:rsidR="00F90C67" w:rsidRPr="00D82EC5">
        <w:rPr>
          <w:rFonts w:ascii="Times New Roman" w:hAnsi="Times New Roman"/>
          <w:sz w:val="24"/>
          <w:szCs w:val="24"/>
        </w:rPr>
        <w:t xml:space="preserve"> comme auxiliaire de fabrication autant que comme support ou contenant.</w:t>
      </w:r>
    </w:p>
    <w:p w:rsidR="00F90C67" w:rsidRPr="00D82EC5" w:rsidRDefault="00F90C67" w:rsidP="003321B1">
      <w:pPr>
        <w:autoSpaceDE w:val="0"/>
        <w:autoSpaceDN w:val="0"/>
        <w:adjustRightInd w:val="0"/>
        <w:ind w:firstLine="708"/>
        <w:rPr>
          <w:rFonts w:ascii="Times New Roman" w:hAnsi="Times New Roman"/>
          <w:sz w:val="24"/>
          <w:szCs w:val="24"/>
        </w:rPr>
      </w:pPr>
      <w:r w:rsidRPr="00D82EC5">
        <w:rPr>
          <w:rFonts w:ascii="Times New Roman" w:hAnsi="Times New Roman"/>
          <w:sz w:val="24"/>
          <w:szCs w:val="24"/>
        </w:rPr>
        <w:t>Les approches hygiénistes dans le domaine de l’alimentation ont eu tendance à refuser l’usage du bois dans le contact avec les produits laitiers ou carnés en raison de risques sanitaires présupposés. Afin de pérenniser  une dérogation d’usage du bois actuellement en vigueur, un travail de recherche important a été mené en concertation entre la profession et la recherche technique et académique, principalement sur les aspects de maturation des fromages.</w:t>
      </w:r>
    </w:p>
    <w:p w:rsidR="00A77F39" w:rsidRPr="00D82EC5" w:rsidRDefault="00A77F39" w:rsidP="00A77F39">
      <w:pPr>
        <w:autoSpaceDE w:val="0"/>
        <w:autoSpaceDN w:val="0"/>
        <w:adjustRightInd w:val="0"/>
        <w:ind w:firstLine="708"/>
        <w:rPr>
          <w:rFonts w:ascii="Times New Roman" w:hAnsi="Times New Roman"/>
          <w:sz w:val="24"/>
          <w:szCs w:val="24"/>
        </w:rPr>
      </w:pPr>
      <w:r w:rsidRPr="00A77F39">
        <w:rPr>
          <w:rFonts w:ascii="Times New Roman" w:hAnsi="Times New Roman"/>
          <w:sz w:val="24"/>
          <w:szCs w:val="24"/>
        </w:rPr>
        <w:lastRenderedPageBreak/>
        <w:t>Toutes les études établissent l’importance des échanges hygroscopiques entre fromage et bois et montrent que le bois est un support favorisant l’inhibition du développement des bactéries pathogènes. L’analyse des microbiotes respectifs des planches et des croûtes de fromage montre aussi que le bois est un véritable auxiliaire technologique. Son utilisation s’inscrit dans les savoir-faire transmis par les professionnels depuis des siècles pour l’élaboration des fromages AOP affinés sur des planches en bois.</w:t>
      </w:r>
      <w:r w:rsidRPr="0075661C">
        <w:rPr>
          <w:rFonts w:ascii="Times New Roman" w:hAnsi="Times New Roman"/>
          <w:sz w:val="24"/>
          <w:szCs w:val="24"/>
        </w:rPr>
        <w:t xml:space="preserve"> </w:t>
      </w:r>
    </w:p>
    <w:p w:rsidR="0075661C" w:rsidRPr="00D82EC5" w:rsidRDefault="0075661C" w:rsidP="003321B1">
      <w:pPr>
        <w:autoSpaceDE w:val="0"/>
        <w:autoSpaceDN w:val="0"/>
        <w:adjustRightInd w:val="0"/>
        <w:ind w:firstLine="708"/>
        <w:rPr>
          <w:rFonts w:ascii="Times New Roman" w:hAnsi="Times New Roman"/>
          <w:sz w:val="24"/>
          <w:szCs w:val="24"/>
        </w:rPr>
      </w:pPr>
      <w:r w:rsidRPr="00D82EC5">
        <w:rPr>
          <w:rFonts w:ascii="Times New Roman" w:hAnsi="Times New Roman"/>
          <w:bCs/>
          <w:sz w:val="24"/>
          <w:szCs w:val="24"/>
        </w:rPr>
        <w:t>Le bois est facilement nettoyable sur la base de bonnes pratiques fromagères développées dans un manuel pour l’utilisation des bois pour l’affinage des fromages (2012) et une même planche d’épicéa peu</w:t>
      </w:r>
      <w:r w:rsidR="001D332F" w:rsidRPr="00D82EC5">
        <w:rPr>
          <w:rFonts w:ascii="Times New Roman" w:hAnsi="Times New Roman"/>
          <w:bCs/>
          <w:sz w:val="24"/>
          <w:szCs w:val="24"/>
        </w:rPr>
        <w:t>t</w:t>
      </w:r>
      <w:r w:rsidRPr="00D82EC5">
        <w:rPr>
          <w:rFonts w:ascii="Times New Roman" w:hAnsi="Times New Roman"/>
          <w:bCs/>
          <w:sz w:val="24"/>
          <w:szCs w:val="24"/>
        </w:rPr>
        <w:t xml:space="preserve"> servir pendant </w:t>
      </w:r>
      <w:r w:rsidR="00A77F39">
        <w:rPr>
          <w:rFonts w:ascii="Times New Roman" w:hAnsi="Times New Roman"/>
          <w:bCs/>
          <w:sz w:val="24"/>
          <w:szCs w:val="24"/>
        </w:rPr>
        <w:t xml:space="preserve">plus de </w:t>
      </w:r>
      <w:r w:rsidRPr="00D82EC5">
        <w:rPr>
          <w:rFonts w:ascii="Times New Roman" w:hAnsi="Times New Roman"/>
          <w:bCs/>
          <w:sz w:val="24"/>
          <w:szCs w:val="24"/>
        </w:rPr>
        <w:t>20 ans.</w:t>
      </w:r>
    </w:p>
    <w:p w:rsidR="0075661C" w:rsidRPr="00D82EC5" w:rsidRDefault="0075661C" w:rsidP="003321B1">
      <w:pPr>
        <w:autoSpaceDE w:val="0"/>
        <w:autoSpaceDN w:val="0"/>
        <w:adjustRightInd w:val="0"/>
        <w:rPr>
          <w:rFonts w:ascii="Times New Roman" w:hAnsi="Times New Roman"/>
          <w:b/>
          <w:bCs/>
          <w:sz w:val="24"/>
          <w:szCs w:val="24"/>
        </w:rPr>
      </w:pPr>
    </w:p>
    <w:p w:rsidR="00A55E49" w:rsidRPr="00D82EC5" w:rsidRDefault="0075661C" w:rsidP="003321B1">
      <w:pPr>
        <w:ind w:firstLine="708"/>
        <w:rPr>
          <w:rFonts w:ascii="Times New Roman" w:hAnsi="Times New Roman"/>
          <w:sz w:val="24"/>
          <w:szCs w:val="24"/>
        </w:rPr>
      </w:pPr>
      <w:r w:rsidRPr="00D82EC5">
        <w:rPr>
          <w:rFonts w:ascii="Times New Roman" w:hAnsi="Times New Roman"/>
          <w:b/>
          <w:sz w:val="24"/>
          <w:szCs w:val="24"/>
        </w:rPr>
        <w:t xml:space="preserve">Nicolas </w:t>
      </w:r>
      <w:proofErr w:type="spellStart"/>
      <w:r w:rsidRPr="00D82EC5">
        <w:rPr>
          <w:rFonts w:ascii="Times New Roman" w:hAnsi="Times New Roman"/>
          <w:b/>
          <w:sz w:val="24"/>
          <w:szCs w:val="24"/>
        </w:rPr>
        <w:t>Vivas</w:t>
      </w:r>
      <w:proofErr w:type="spellEnd"/>
      <w:r w:rsidRPr="00D82EC5">
        <w:rPr>
          <w:rFonts w:ascii="Times New Roman" w:hAnsi="Times New Roman"/>
          <w:b/>
          <w:sz w:val="24"/>
          <w:szCs w:val="24"/>
        </w:rPr>
        <w:t xml:space="preserve">, </w:t>
      </w:r>
      <w:r w:rsidRPr="00D82EC5">
        <w:rPr>
          <w:rFonts w:ascii="Times New Roman" w:hAnsi="Times New Roman"/>
          <w:sz w:val="24"/>
          <w:szCs w:val="24"/>
        </w:rPr>
        <w:t xml:space="preserve">Centre de Recherches </w:t>
      </w:r>
      <w:proofErr w:type="spellStart"/>
      <w:r w:rsidRPr="00D82EC5">
        <w:rPr>
          <w:rFonts w:ascii="Times New Roman" w:hAnsi="Times New Roman"/>
          <w:sz w:val="24"/>
          <w:szCs w:val="24"/>
        </w:rPr>
        <w:t>Demptos</w:t>
      </w:r>
      <w:proofErr w:type="spellEnd"/>
      <w:r w:rsidRPr="00D82EC5">
        <w:rPr>
          <w:rFonts w:ascii="Times New Roman" w:hAnsi="Times New Roman"/>
          <w:sz w:val="24"/>
          <w:szCs w:val="24"/>
        </w:rPr>
        <w:t xml:space="preserve"> - Université de Bordeaux</w:t>
      </w:r>
      <w:r w:rsidR="00A55E49" w:rsidRPr="00D82EC5">
        <w:rPr>
          <w:rFonts w:ascii="Times New Roman" w:hAnsi="Times New Roman"/>
          <w:sz w:val="24"/>
          <w:szCs w:val="24"/>
        </w:rPr>
        <w:t xml:space="preserve"> a </w:t>
      </w:r>
      <w:r w:rsidR="001D332F" w:rsidRPr="00D82EC5">
        <w:rPr>
          <w:rFonts w:ascii="Times New Roman" w:hAnsi="Times New Roman"/>
          <w:sz w:val="24"/>
          <w:szCs w:val="24"/>
        </w:rPr>
        <w:t>présenté</w:t>
      </w:r>
      <w:r w:rsidR="00A55E49" w:rsidRPr="00D82EC5">
        <w:rPr>
          <w:rFonts w:ascii="Times New Roman" w:hAnsi="Times New Roman"/>
          <w:sz w:val="24"/>
          <w:szCs w:val="24"/>
        </w:rPr>
        <w:t xml:space="preserve"> l’association séculaire entre le chêne et le vin.</w:t>
      </w:r>
    </w:p>
    <w:p w:rsidR="00A55E49" w:rsidRPr="00D82EC5" w:rsidRDefault="00A55E49" w:rsidP="003321B1">
      <w:pPr>
        <w:rPr>
          <w:rFonts w:ascii="Times New Roman" w:hAnsi="Times New Roman"/>
          <w:sz w:val="24"/>
          <w:szCs w:val="24"/>
        </w:rPr>
      </w:pPr>
      <w:r w:rsidRPr="00D82EC5">
        <w:rPr>
          <w:rFonts w:ascii="Times New Roman" w:hAnsi="Times New Roman"/>
          <w:sz w:val="24"/>
          <w:szCs w:val="24"/>
        </w:rPr>
        <w:tab/>
        <w:t xml:space="preserve">Le bois est un contenant millénaire de liquides divers dont les vins et liqueurs sont les derniers exemples très dynamiques. </w:t>
      </w:r>
      <w:r w:rsidR="000145A9">
        <w:rPr>
          <w:rFonts w:ascii="Times New Roman" w:hAnsi="Times New Roman"/>
          <w:sz w:val="24"/>
          <w:szCs w:val="24"/>
        </w:rPr>
        <w:t>Au fil des siècles, l</w:t>
      </w:r>
      <w:r w:rsidRPr="00D82EC5">
        <w:rPr>
          <w:rFonts w:ascii="Times New Roman" w:hAnsi="Times New Roman"/>
          <w:sz w:val="24"/>
          <w:szCs w:val="24"/>
        </w:rPr>
        <w:t xml:space="preserve">e nombre d’essences de bois utilisées a été réduit très fortement, le chêne détenant aujourd’hui la </w:t>
      </w:r>
      <w:proofErr w:type="gramStart"/>
      <w:r w:rsidRPr="00D82EC5">
        <w:rPr>
          <w:rFonts w:ascii="Times New Roman" w:hAnsi="Times New Roman"/>
          <w:sz w:val="24"/>
          <w:szCs w:val="24"/>
        </w:rPr>
        <w:t>quasi exclusivité</w:t>
      </w:r>
      <w:proofErr w:type="gramEnd"/>
      <w:r w:rsidRPr="00D82EC5">
        <w:rPr>
          <w:rFonts w:ascii="Times New Roman" w:hAnsi="Times New Roman"/>
          <w:sz w:val="24"/>
          <w:szCs w:val="24"/>
        </w:rPr>
        <w:t xml:space="preserve"> de la fabrication de futailles.</w:t>
      </w:r>
    </w:p>
    <w:p w:rsidR="00A55E49" w:rsidRPr="00D82EC5" w:rsidRDefault="00A55E49" w:rsidP="003321B1">
      <w:pPr>
        <w:ind w:firstLine="708"/>
        <w:rPr>
          <w:rFonts w:ascii="Times New Roman" w:hAnsi="Times New Roman"/>
          <w:sz w:val="24"/>
          <w:szCs w:val="24"/>
        </w:rPr>
      </w:pPr>
      <w:r w:rsidRPr="00D82EC5">
        <w:rPr>
          <w:rFonts w:ascii="Times New Roman" w:hAnsi="Times New Roman"/>
          <w:sz w:val="24"/>
          <w:szCs w:val="24"/>
        </w:rPr>
        <w:t>Ce mariage ancestral de la tonnellerie et de l’œnologie tient à un ensemble d’atouts complémentaires du bois de chêne quant aux échanges gazeux et hygroscopiques d’une part, à la capacité d’échanges modérés de composés phénoliques et aromatiques en harmonie avec les composés du vin d’autre part.</w:t>
      </w:r>
    </w:p>
    <w:p w:rsidR="00A911F1" w:rsidRPr="00D82EC5" w:rsidRDefault="00A55E49" w:rsidP="003321B1">
      <w:pPr>
        <w:rPr>
          <w:rFonts w:ascii="Times New Roman" w:hAnsi="Times New Roman"/>
          <w:sz w:val="24"/>
          <w:szCs w:val="24"/>
        </w:rPr>
      </w:pPr>
      <w:r w:rsidRPr="00D82EC5">
        <w:rPr>
          <w:rFonts w:ascii="Times New Roman" w:hAnsi="Times New Roman"/>
          <w:sz w:val="24"/>
          <w:szCs w:val="24"/>
        </w:rPr>
        <w:tab/>
        <w:t>Les professionnels sont fortement engagés avec le monde universitaire et l’I</w:t>
      </w:r>
      <w:r w:rsidR="000145A9">
        <w:rPr>
          <w:rFonts w:ascii="Times New Roman" w:hAnsi="Times New Roman"/>
          <w:sz w:val="24"/>
          <w:szCs w:val="24"/>
        </w:rPr>
        <w:t>NRA</w:t>
      </w:r>
      <w:r w:rsidRPr="00D82EC5">
        <w:rPr>
          <w:rFonts w:ascii="Times New Roman" w:hAnsi="Times New Roman"/>
          <w:sz w:val="24"/>
          <w:szCs w:val="24"/>
        </w:rPr>
        <w:t xml:space="preserve"> dans des recherches chimiques et microbiologiques (processus de fermentation), associées à des études de perception, </w:t>
      </w:r>
      <w:r w:rsidR="00A911F1" w:rsidRPr="00D82EC5">
        <w:rPr>
          <w:rFonts w:ascii="Times New Roman" w:hAnsi="Times New Roman"/>
          <w:sz w:val="24"/>
          <w:szCs w:val="24"/>
        </w:rPr>
        <w:t>afin d’asseoir et d’améliorer les savoir</w:t>
      </w:r>
      <w:r w:rsidR="001D332F" w:rsidRPr="00D82EC5">
        <w:rPr>
          <w:rFonts w:ascii="Times New Roman" w:hAnsi="Times New Roman"/>
          <w:sz w:val="24"/>
          <w:szCs w:val="24"/>
        </w:rPr>
        <w:t>-</w:t>
      </w:r>
      <w:r w:rsidR="00A911F1" w:rsidRPr="00D82EC5">
        <w:rPr>
          <w:rFonts w:ascii="Times New Roman" w:hAnsi="Times New Roman"/>
          <w:sz w:val="24"/>
          <w:szCs w:val="24"/>
        </w:rPr>
        <w:t>faire artisanaux.</w:t>
      </w:r>
    </w:p>
    <w:p w:rsidR="00A911F1" w:rsidRPr="00D82EC5" w:rsidRDefault="00A911F1" w:rsidP="003321B1">
      <w:pPr>
        <w:rPr>
          <w:rFonts w:ascii="Times New Roman" w:hAnsi="Times New Roman"/>
          <w:sz w:val="24"/>
          <w:szCs w:val="24"/>
        </w:rPr>
      </w:pPr>
      <w:r w:rsidRPr="00D82EC5">
        <w:rPr>
          <w:rFonts w:ascii="Times New Roman" w:hAnsi="Times New Roman"/>
          <w:sz w:val="24"/>
          <w:szCs w:val="24"/>
        </w:rPr>
        <w:tab/>
        <w:t xml:space="preserve">Le fût en bois est un argument commercial omniprésent dans la vente des vins (alors que moins de 10% </w:t>
      </w:r>
      <w:r w:rsidR="003321B1" w:rsidRPr="00D82EC5">
        <w:rPr>
          <w:rFonts w:ascii="Times New Roman" w:hAnsi="Times New Roman"/>
          <w:sz w:val="24"/>
          <w:szCs w:val="24"/>
        </w:rPr>
        <w:t xml:space="preserve">des vins </w:t>
      </w:r>
      <w:r w:rsidRPr="00D82EC5">
        <w:rPr>
          <w:rFonts w:ascii="Times New Roman" w:hAnsi="Times New Roman"/>
          <w:sz w:val="24"/>
          <w:szCs w:val="24"/>
        </w:rPr>
        <w:t>sont élevés en fût de chêne) mais c’est surtout un outil d’élevage précis qui nécessite des choix technologiques plus qu’esthétiques.</w:t>
      </w:r>
    </w:p>
    <w:p w:rsidR="003321B1" w:rsidRPr="00D82EC5" w:rsidRDefault="003321B1" w:rsidP="003321B1">
      <w:pPr>
        <w:rPr>
          <w:rFonts w:ascii="Times New Roman" w:hAnsi="Times New Roman"/>
          <w:sz w:val="24"/>
          <w:szCs w:val="24"/>
        </w:rPr>
      </w:pPr>
    </w:p>
    <w:p w:rsidR="00A911F1" w:rsidRPr="00D82EC5" w:rsidRDefault="00A911F1" w:rsidP="003321B1">
      <w:pPr>
        <w:rPr>
          <w:rFonts w:ascii="Times New Roman" w:hAnsi="Times New Roman"/>
          <w:sz w:val="24"/>
          <w:szCs w:val="24"/>
        </w:rPr>
      </w:pPr>
      <w:r w:rsidRPr="00D82EC5">
        <w:rPr>
          <w:rFonts w:ascii="Times New Roman" w:hAnsi="Times New Roman"/>
          <w:sz w:val="24"/>
          <w:szCs w:val="24"/>
        </w:rPr>
        <w:tab/>
        <w:t>Les nombreuses questions de la salle ont porté sur tous les sujets abordés, notamment la concurrence entre matériaux, les aspects économiques et environnementaux ou la provenance des bois. Des réponses il ressort clairement que les atouts environnementaux du bois sont reconnus, et que la technicité et le savoir faire dans les usages où le bois est bien plus qu’un emballage le rendent incontournable dans les produits de qualité forcément plus chers.</w:t>
      </w:r>
      <w:r w:rsidR="00C76138">
        <w:rPr>
          <w:rFonts w:ascii="Times New Roman" w:hAnsi="Times New Roman"/>
          <w:sz w:val="24"/>
          <w:szCs w:val="24"/>
        </w:rPr>
        <w:t xml:space="preserve"> A la question concernant </w:t>
      </w:r>
      <w:r w:rsidR="009766F7" w:rsidRPr="00D82EC5">
        <w:rPr>
          <w:rFonts w:ascii="Times New Roman" w:hAnsi="Times New Roman"/>
          <w:sz w:val="24"/>
          <w:szCs w:val="24"/>
        </w:rPr>
        <w:t>l’utilisation de composites bois-plastique (récupération de sciures)</w:t>
      </w:r>
      <w:r w:rsidR="00954CAA">
        <w:rPr>
          <w:rFonts w:ascii="Times New Roman" w:hAnsi="Times New Roman"/>
          <w:sz w:val="24"/>
          <w:szCs w:val="24"/>
        </w:rPr>
        <w:t xml:space="preserve"> pour les emballages</w:t>
      </w:r>
      <w:r w:rsidR="009766F7" w:rsidRPr="00D82EC5">
        <w:rPr>
          <w:rFonts w:ascii="Times New Roman" w:hAnsi="Times New Roman"/>
          <w:sz w:val="24"/>
          <w:szCs w:val="24"/>
        </w:rPr>
        <w:t xml:space="preserve"> </w:t>
      </w:r>
      <w:r w:rsidR="00C76138">
        <w:rPr>
          <w:rFonts w:ascii="Times New Roman" w:hAnsi="Times New Roman"/>
          <w:sz w:val="24"/>
          <w:szCs w:val="24"/>
        </w:rPr>
        <w:t>il a été répondu qu’il n’y avait pas encore d’usage.</w:t>
      </w:r>
      <w:r w:rsidR="009766F7" w:rsidRPr="00D82EC5">
        <w:rPr>
          <w:rFonts w:ascii="Times New Roman" w:hAnsi="Times New Roman"/>
          <w:sz w:val="24"/>
          <w:szCs w:val="24"/>
        </w:rPr>
        <w:t xml:space="preserve"> Quant aux copeaux de chêne </w:t>
      </w:r>
      <w:r w:rsidR="000145A9">
        <w:rPr>
          <w:rFonts w:ascii="Times New Roman" w:hAnsi="Times New Roman"/>
          <w:sz w:val="24"/>
          <w:szCs w:val="24"/>
        </w:rPr>
        <w:t xml:space="preserve">ajoutés à certains vins élevés </w:t>
      </w:r>
      <w:r w:rsidR="009766F7" w:rsidRPr="00D82EC5">
        <w:rPr>
          <w:rFonts w:ascii="Times New Roman" w:hAnsi="Times New Roman"/>
          <w:sz w:val="24"/>
          <w:szCs w:val="24"/>
        </w:rPr>
        <w:t>dans des cuves métalliques, ils ne peuvent remplacer la complexité de l’élevage en fûts.</w:t>
      </w:r>
    </w:p>
    <w:p w:rsidR="00A911F1" w:rsidRPr="00D82EC5" w:rsidRDefault="00A911F1" w:rsidP="003321B1">
      <w:pPr>
        <w:rPr>
          <w:rFonts w:ascii="Times New Roman" w:hAnsi="Times New Roman"/>
          <w:sz w:val="24"/>
          <w:szCs w:val="24"/>
        </w:rPr>
      </w:pPr>
    </w:p>
    <w:p w:rsidR="00AA30EF" w:rsidRDefault="00A911F1" w:rsidP="003321B1">
      <w:pPr>
        <w:rPr>
          <w:rFonts w:ascii="Times New Roman" w:hAnsi="Times New Roman"/>
          <w:sz w:val="24"/>
          <w:szCs w:val="24"/>
        </w:rPr>
      </w:pPr>
      <w:r w:rsidRPr="00D82EC5">
        <w:rPr>
          <w:rFonts w:ascii="Times New Roman" w:hAnsi="Times New Roman"/>
          <w:sz w:val="24"/>
          <w:szCs w:val="24"/>
        </w:rPr>
        <w:tab/>
        <w:t xml:space="preserve">En conclusion </w:t>
      </w:r>
      <w:r w:rsidRPr="00D82EC5">
        <w:rPr>
          <w:rFonts w:ascii="Times New Roman" w:hAnsi="Times New Roman"/>
          <w:b/>
          <w:sz w:val="24"/>
          <w:szCs w:val="24"/>
        </w:rPr>
        <w:t>Hervé This</w:t>
      </w:r>
      <w:r w:rsidR="00AA30EF">
        <w:rPr>
          <w:rFonts w:ascii="Times New Roman" w:hAnsi="Times New Roman"/>
          <w:sz w:val="24"/>
          <w:szCs w:val="24"/>
        </w:rPr>
        <w:t xml:space="preserve"> a insisté sur l'importance de travaux scientifiques, pour identifier les mécanismes des échanges entre les bois et les aliments, au-delà des caractérisations desdits échanges. Surtout, il a observé la remarquable complexité chimique du bois, qui peut être une source directe ou indirecte de composés de grande valeur, pour le secteur alimentaire comme pour d'autres industries (pharmacie, cosmétique…).</w:t>
      </w:r>
      <w:r w:rsidR="00AA30EF" w:rsidRPr="00AA30EF">
        <w:rPr>
          <w:rFonts w:ascii="Times New Roman" w:hAnsi="Times New Roman"/>
          <w:sz w:val="24"/>
          <w:szCs w:val="24"/>
        </w:rPr>
        <w:t xml:space="preserve"> </w:t>
      </w:r>
      <w:r w:rsidR="00AA30EF">
        <w:rPr>
          <w:rFonts w:ascii="Times New Roman" w:hAnsi="Times New Roman"/>
          <w:sz w:val="24"/>
          <w:szCs w:val="24"/>
        </w:rPr>
        <w:t>Il a appelé à une collaboration des sections 2 et 8 de l'Académie d'agriculture, autour des usages dérivés du bois pour le secteur alimentaire, avec, notamment, des applications pour ces recherches en vue d'une agriculture durable réduisant le gaspillage (« cuisine note à note », fondée sur des fractionnements à la ferme des produits de l'agriculture). D'autres sections, telle la section 6, pourraient utilement être associées à ces explorations.</w:t>
      </w:r>
    </w:p>
    <w:p w:rsidR="0075661C" w:rsidRPr="00D82EC5" w:rsidRDefault="00A55E49" w:rsidP="003321B1">
      <w:pPr>
        <w:rPr>
          <w:rFonts w:ascii="Times New Roman" w:hAnsi="Times New Roman"/>
          <w:sz w:val="24"/>
          <w:szCs w:val="24"/>
        </w:rPr>
      </w:pPr>
      <w:r w:rsidRPr="00D82EC5">
        <w:rPr>
          <w:rFonts w:ascii="Times New Roman" w:hAnsi="Times New Roman"/>
          <w:sz w:val="24"/>
          <w:szCs w:val="24"/>
        </w:rPr>
        <w:tab/>
      </w:r>
    </w:p>
    <w:p w:rsidR="008A6882" w:rsidRDefault="00EA2008" w:rsidP="00A77F39">
      <w:pPr>
        <w:autoSpaceDE w:val="0"/>
        <w:autoSpaceDN w:val="0"/>
        <w:adjustRightInd w:val="0"/>
        <w:rPr>
          <w:rStyle w:val="Lienhypertexte"/>
          <w:rFonts w:ascii="Times New Roman" w:hAnsi="Times New Roman"/>
          <w:sz w:val="22"/>
          <w:szCs w:val="22"/>
        </w:rPr>
      </w:pPr>
      <w:r w:rsidRPr="00D82EC5">
        <w:rPr>
          <w:rFonts w:ascii="Times New Roman" w:hAnsi="Times New Roman"/>
          <w:sz w:val="22"/>
          <w:szCs w:val="22"/>
        </w:rPr>
        <w:tab/>
      </w:r>
      <w:r w:rsidR="00954CAA">
        <w:rPr>
          <w:rFonts w:ascii="Times New Roman" w:hAnsi="Times New Roman"/>
          <w:sz w:val="22"/>
          <w:szCs w:val="22"/>
        </w:rPr>
        <w:t xml:space="preserve">NB </w:t>
      </w:r>
      <w:r w:rsidRPr="00D82EC5">
        <w:rPr>
          <w:rFonts w:ascii="Times New Roman" w:hAnsi="Times New Roman"/>
          <w:sz w:val="22"/>
          <w:szCs w:val="22"/>
        </w:rPr>
        <w:t xml:space="preserve">Notre séance arrive en phase avec une consultation publique en ligne </w:t>
      </w:r>
      <w:r w:rsidR="00EE395A" w:rsidRPr="00D82EC5">
        <w:rPr>
          <w:rFonts w:ascii="Times New Roman" w:hAnsi="Times New Roman"/>
          <w:sz w:val="22"/>
          <w:szCs w:val="22"/>
        </w:rPr>
        <w:t xml:space="preserve"> de la C</w:t>
      </w:r>
      <w:r w:rsidRPr="00D82EC5">
        <w:rPr>
          <w:rFonts w:ascii="Times New Roman" w:hAnsi="Times New Roman"/>
          <w:sz w:val="22"/>
          <w:szCs w:val="22"/>
        </w:rPr>
        <w:t>ommission</w:t>
      </w:r>
      <w:r w:rsidR="00EE395A" w:rsidRPr="00D82EC5">
        <w:rPr>
          <w:rFonts w:ascii="Times New Roman" w:hAnsi="Times New Roman"/>
          <w:sz w:val="22"/>
          <w:szCs w:val="22"/>
        </w:rPr>
        <w:t xml:space="preserve"> </w:t>
      </w:r>
      <w:r w:rsidRPr="00D82EC5">
        <w:rPr>
          <w:rFonts w:ascii="Times New Roman" w:hAnsi="Times New Roman"/>
          <w:sz w:val="22"/>
          <w:szCs w:val="22"/>
        </w:rPr>
        <w:t>européenne</w:t>
      </w:r>
      <w:r w:rsidR="00EE395A" w:rsidRPr="00D82EC5">
        <w:rPr>
          <w:rFonts w:ascii="Times New Roman" w:hAnsi="Times New Roman"/>
          <w:sz w:val="22"/>
          <w:szCs w:val="22"/>
        </w:rPr>
        <w:t xml:space="preserve"> (ouverte jusqu’au 6 mai 2019)</w:t>
      </w:r>
      <w:r w:rsidRPr="00D82EC5">
        <w:rPr>
          <w:rFonts w:ascii="Times New Roman" w:hAnsi="Times New Roman"/>
          <w:sz w:val="22"/>
          <w:szCs w:val="22"/>
        </w:rPr>
        <w:t xml:space="preserve"> sur l’évaluation de la législation relative aux matériaux en </w:t>
      </w:r>
      <w:r w:rsidRPr="00D82EC5">
        <w:rPr>
          <w:rFonts w:ascii="Times New Roman" w:hAnsi="Times New Roman"/>
          <w:sz w:val="22"/>
          <w:szCs w:val="22"/>
        </w:rPr>
        <w:lastRenderedPageBreak/>
        <w:t>contact avec les aliments</w:t>
      </w:r>
      <w:r w:rsidR="00EE395A" w:rsidRPr="00D82EC5">
        <w:rPr>
          <w:rFonts w:ascii="Times New Roman" w:hAnsi="Times New Roman"/>
          <w:sz w:val="22"/>
          <w:szCs w:val="22"/>
        </w:rPr>
        <w:t>,</w:t>
      </w:r>
      <w:r w:rsidRPr="00D82EC5">
        <w:rPr>
          <w:rFonts w:ascii="Times New Roman" w:hAnsi="Times New Roman"/>
          <w:sz w:val="22"/>
          <w:szCs w:val="22"/>
        </w:rPr>
        <w:t xml:space="preserve"> qui s’adresse à toutes les parties prenantes intéressées (professionnels, scientifiques,</w:t>
      </w:r>
      <w:r w:rsidR="00F366A9" w:rsidRPr="00D82EC5">
        <w:rPr>
          <w:rFonts w:ascii="Times New Roman" w:hAnsi="Times New Roman"/>
          <w:sz w:val="22"/>
          <w:szCs w:val="22"/>
        </w:rPr>
        <w:t xml:space="preserve"> </w:t>
      </w:r>
      <w:r w:rsidRPr="00D82EC5">
        <w:rPr>
          <w:rFonts w:ascii="Times New Roman" w:hAnsi="Times New Roman"/>
          <w:sz w:val="22"/>
          <w:szCs w:val="22"/>
        </w:rPr>
        <w:t>particuliers)</w:t>
      </w:r>
      <w:r w:rsidR="00EE395A" w:rsidRPr="00D82EC5">
        <w:rPr>
          <w:rFonts w:ascii="Times New Roman" w:hAnsi="Times New Roman"/>
          <w:sz w:val="22"/>
          <w:szCs w:val="22"/>
        </w:rPr>
        <w:t xml:space="preserve"> </w:t>
      </w:r>
      <w:hyperlink r:id="rId4" w:history="1">
        <w:r w:rsidR="00EE395A" w:rsidRPr="00D82EC5">
          <w:rPr>
            <w:rStyle w:val="Lienhypertexte"/>
            <w:rFonts w:ascii="Times New Roman" w:hAnsi="Times New Roman"/>
            <w:sz w:val="22"/>
            <w:szCs w:val="22"/>
          </w:rPr>
          <w:t>https://ec.europa.eu/info/law/better-regulation/initiatives/ares-2017-5809429/public-consultation_fr</w:t>
        </w:r>
      </w:hyperlink>
    </w:p>
    <w:p w:rsidR="00954CAA" w:rsidRDefault="00954CAA" w:rsidP="00A77F39">
      <w:pPr>
        <w:autoSpaceDE w:val="0"/>
        <w:autoSpaceDN w:val="0"/>
        <w:adjustRightInd w:val="0"/>
        <w:rPr>
          <w:rStyle w:val="Lienhypertexte"/>
          <w:rFonts w:ascii="Times New Roman" w:hAnsi="Times New Roman"/>
          <w:sz w:val="22"/>
          <w:szCs w:val="22"/>
        </w:rPr>
      </w:pPr>
    </w:p>
    <w:p w:rsidR="00954CAA" w:rsidRDefault="00954CAA" w:rsidP="00A77F39">
      <w:pPr>
        <w:autoSpaceDE w:val="0"/>
        <w:autoSpaceDN w:val="0"/>
        <w:adjustRightInd w:val="0"/>
        <w:rPr>
          <w:rStyle w:val="Lienhypertexte"/>
          <w:rFonts w:ascii="Times New Roman" w:hAnsi="Times New Roman"/>
          <w:sz w:val="22"/>
          <w:szCs w:val="22"/>
        </w:rPr>
      </w:pPr>
    </w:p>
    <w:p w:rsidR="00954CAA" w:rsidRDefault="00954CAA" w:rsidP="00A77F39">
      <w:pPr>
        <w:autoSpaceDE w:val="0"/>
        <w:autoSpaceDN w:val="0"/>
        <w:adjustRightInd w:val="0"/>
        <w:rPr>
          <w:rStyle w:val="Lienhypertexte"/>
          <w:rFonts w:ascii="Times New Roman" w:hAnsi="Times New Roman"/>
          <w:sz w:val="22"/>
          <w:szCs w:val="22"/>
        </w:rPr>
      </w:pPr>
    </w:p>
    <w:p w:rsidR="00954CAA" w:rsidRDefault="00954CAA" w:rsidP="00954CAA">
      <w:pPr>
        <w:autoSpaceDE w:val="0"/>
        <w:autoSpaceDN w:val="0"/>
        <w:adjustRightInd w:val="0"/>
        <w:jc w:val="right"/>
        <w:rPr>
          <w:rStyle w:val="Lienhypertexte"/>
          <w:rFonts w:ascii="Times New Roman" w:hAnsi="Times New Roman"/>
          <w:color w:val="000000" w:themeColor="text1"/>
          <w:sz w:val="22"/>
          <w:szCs w:val="22"/>
          <w:u w:val="none"/>
        </w:rPr>
      </w:pPr>
      <w:r>
        <w:rPr>
          <w:rStyle w:val="Lienhypertexte"/>
          <w:rFonts w:ascii="Times New Roman" w:hAnsi="Times New Roman"/>
          <w:color w:val="000000" w:themeColor="text1"/>
          <w:sz w:val="22"/>
          <w:szCs w:val="22"/>
          <w:u w:val="none"/>
        </w:rPr>
        <w:t>Avril 2019</w:t>
      </w:r>
    </w:p>
    <w:p w:rsidR="00954CAA" w:rsidRPr="00954CAA" w:rsidRDefault="00954CAA" w:rsidP="00954CAA">
      <w:pPr>
        <w:autoSpaceDE w:val="0"/>
        <w:autoSpaceDN w:val="0"/>
        <w:adjustRightInd w:val="0"/>
        <w:jc w:val="right"/>
        <w:rPr>
          <w:rFonts w:ascii="Times New Roman" w:hAnsi="Times New Roman"/>
          <w:color w:val="000000" w:themeColor="text1"/>
          <w:sz w:val="22"/>
          <w:szCs w:val="22"/>
        </w:rPr>
      </w:pPr>
      <w:r w:rsidRPr="00954CAA">
        <w:rPr>
          <w:rStyle w:val="Lienhypertexte"/>
          <w:rFonts w:ascii="Times New Roman" w:hAnsi="Times New Roman"/>
          <w:color w:val="000000" w:themeColor="text1"/>
          <w:sz w:val="22"/>
          <w:szCs w:val="22"/>
          <w:u w:val="none"/>
        </w:rPr>
        <w:t>Bernard THIBAUT et Sophie VILLERS</w:t>
      </w:r>
    </w:p>
    <w:sectPr w:rsidR="00954CAA" w:rsidRPr="00954CAA" w:rsidSect="00B60F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61129"/>
    <w:rsid w:val="000145A9"/>
    <w:rsid w:val="001C1AAA"/>
    <w:rsid w:val="001D332F"/>
    <w:rsid w:val="00227429"/>
    <w:rsid w:val="00327AEC"/>
    <w:rsid w:val="003321B1"/>
    <w:rsid w:val="0036757A"/>
    <w:rsid w:val="0042224B"/>
    <w:rsid w:val="00462F7C"/>
    <w:rsid w:val="00555E99"/>
    <w:rsid w:val="006B0B66"/>
    <w:rsid w:val="006C28D4"/>
    <w:rsid w:val="006D2F56"/>
    <w:rsid w:val="0075661C"/>
    <w:rsid w:val="007D5806"/>
    <w:rsid w:val="0088093A"/>
    <w:rsid w:val="008A6882"/>
    <w:rsid w:val="00937A47"/>
    <w:rsid w:val="00954CAA"/>
    <w:rsid w:val="00970D91"/>
    <w:rsid w:val="009766F7"/>
    <w:rsid w:val="00A27365"/>
    <w:rsid w:val="00A34A0B"/>
    <w:rsid w:val="00A55E49"/>
    <w:rsid w:val="00A605C7"/>
    <w:rsid w:val="00A77F39"/>
    <w:rsid w:val="00A911F1"/>
    <w:rsid w:val="00AA30EF"/>
    <w:rsid w:val="00B317C8"/>
    <w:rsid w:val="00B60F84"/>
    <w:rsid w:val="00B832D7"/>
    <w:rsid w:val="00C76138"/>
    <w:rsid w:val="00D61129"/>
    <w:rsid w:val="00D82EC5"/>
    <w:rsid w:val="00EA2008"/>
    <w:rsid w:val="00EE395A"/>
    <w:rsid w:val="00F01AB8"/>
    <w:rsid w:val="00F366A9"/>
    <w:rsid w:val="00F90C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8AB7"/>
  <w15:docId w15:val="{60007514-C820-42F6-B602-3C6ECFDC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7C8"/>
    <w:pPr>
      <w:jc w:val="both"/>
    </w:pPr>
    <w:rPr>
      <w:rFonts w:ascii="Geneva" w:hAnsi="Geneva"/>
    </w:rPr>
  </w:style>
  <w:style w:type="paragraph" w:styleId="Titre1">
    <w:name w:val="heading 1"/>
    <w:basedOn w:val="Normal"/>
    <w:next w:val="Normal"/>
    <w:link w:val="Titre1Car"/>
    <w:qFormat/>
    <w:rsid w:val="00B317C8"/>
    <w:pPr>
      <w:keepNext/>
      <w:spacing w:before="240" w:after="60"/>
      <w:jc w:val="left"/>
      <w:outlineLvl w:val="0"/>
    </w:pPr>
    <w:rPr>
      <w:b/>
      <w:caps/>
      <w:kern w:val="32"/>
      <w:sz w:val="28"/>
      <w:szCs w:val="28"/>
    </w:rPr>
  </w:style>
  <w:style w:type="paragraph" w:styleId="Titre2">
    <w:name w:val="heading 2"/>
    <w:basedOn w:val="Normal"/>
    <w:next w:val="Normal"/>
    <w:link w:val="Titre2Car"/>
    <w:qFormat/>
    <w:rsid w:val="00B317C8"/>
    <w:pPr>
      <w:keepNext/>
      <w:spacing w:before="240" w:after="60"/>
      <w:outlineLvl w:val="1"/>
    </w:pPr>
    <w:rPr>
      <w:rFonts w:ascii="Helvetica" w:hAnsi="Helvetica" w:cs="Helvetica"/>
      <w:b/>
      <w:bCs/>
      <w:i/>
      <w:iCs/>
      <w:sz w:val="24"/>
      <w:szCs w:val="24"/>
    </w:rPr>
  </w:style>
  <w:style w:type="paragraph" w:styleId="Titre3">
    <w:name w:val="heading 3"/>
    <w:basedOn w:val="Normal"/>
    <w:next w:val="Normal"/>
    <w:link w:val="Titre3Car"/>
    <w:uiPriority w:val="9"/>
    <w:qFormat/>
    <w:rsid w:val="00B317C8"/>
    <w:pPr>
      <w:widowControl w:val="0"/>
      <w:spacing w:before="240" w:after="60"/>
      <w:outlineLvl w:val="2"/>
    </w:pPr>
    <w:rPr>
      <w:rFonts w:ascii="Times" w:hAnsi="Times" w:cs="Times"/>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317C8"/>
    <w:rPr>
      <w:rFonts w:ascii="Geneva" w:hAnsi="Geneva"/>
      <w:b/>
      <w:caps/>
      <w:kern w:val="32"/>
      <w:sz w:val="28"/>
      <w:szCs w:val="28"/>
    </w:rPr>
  </w:style>
  <w:style w:type="character" w:customStyle="1" w:styleId="Titre2Car">
    <w:name w:val="Titre 2 Car"/>
    <w:basedOn w:val="Policepardfaut"/>
    <w:link w:val="Titre2"/>
    <w:rsid w:val="00B317C8"/>
    <w:rPr>
      <w:rFonts w:ascii="Helvetica" w:hAnsi="Helvetica" w:cs="Helvetica"/>
      <w:b/>
      <w:bCs/>
      <w:i/>
      <w:iCs/>
      <w:sz w:val="24"/>
      <w:szCs w:val="24"/>
    </w:rPr>
  </w:style>
  <w:style w:type="character" w:customStyle="1" w:styleId="Titre3Car">
    <w:name w:val="Titre 3 Car"/>
    <w:basedOn w:val="Policepardfaut"/>
    <w:link w:val="Titre3"/>
    <w:uiPriority w:val="9"/>
    <w:rsid w:val="00B317C8"/>
    <w:rPr>
      <w:rFonts w:ascii="Times" w:hAnsi="Times" w:cs="Times"/>
      <w:b/>
      <w:bCs/>
      <w:sz w:val="24"/>
      <w:szCs w:val="24"/>
    </w:rPr>
  </w:style>
  <w:style w:type="paragraph" w:styleId="Titre">
    <w:name w:val="Title"/>
    <w:basedOn w:val="Normal"/>
    <w:link w:val="TitreCar"/>
    <w:qFormat/>
    <w:rsid w:val="00B317C8"/>
    <w:pPr>
      <w:shd w:val="pct10" w:color="auto" w:fill="auto"/>
      <w:jc w:val="center"/>
    </w:pPr>
    <w:rPr>
      <w:rFonts w:ascii="Times" w:hAnsi="Times" w:cs="Times"/>
      <w:b/>
      <w:bCs/>
      <w:sz w:val="28"/>
      <w:szCs w:val="28"/>
    </w:rPr>
  </w:style>
  <w:style w:type="character" w:customStyle="1" w:styleId="TitreCar">
    <w:name w:val="Titre Car"/>
    <w:basedOn w:val="Policepardfaut"/>
    <w:link w:val="Titre"/>
    <w:rsid w:val="00B317C8"/>
    <w:rPr>
      <w:rFonts w:ascii="Times" w:hAnsi="Times" w:cs="Times"/>
      <w:b/>
      <w:bCs/>
      <w:sz w:val="28"/>
      <w:szCs w:val="28"/>
      <w:shd w:val="pct10" w:color="auto" w:fill="auto"/>
    </w:rPr>
  </w:style>
  <w:style w:type="paragraph" w:styleId="Sansinterligne">
    <w:name w:val="No Spacing"/>
    <w:uiPriority w:val="99"/>
    <w:qFormat/>
    <w:rsid w:val="00B317C8"/>
    <w:rPr>
      <w:rFonts w:ascii="Calibri" w:eastAsia="Calibri" w:hAnsi="Calibri"/>
      <w:sz w:val="22"/>
      <w:szCs w:val="22"/>
      <w:lang w:eastAsia="en-US"/>
    </w:rPr>
  </w:style>
  <w:style w:type="paragraph" w:styleId="Paragraphedeliste">
    <w:name w:val="List Paragraph"/>
    <w:basedOn w:val="Normal"/>
    <w:uiPriority w:val="34"/>
    <w:qFormat/>
    <w:rsid w:val="00B317C8"/>
    <w:pPr>
      <w:ind w:left="708"/>
    </w:pPr>
  </w:style>
  <w:style w:type="character" w:styleId="Lienhypertexte">
    <w:name w:val="Hyperlink"/>
    <w:basedOn w:val="Policepardfaut"/>
    <w:uiPriority w:val="99"/>
    <w:unhideWhenUsed/>
    <w:rsid w:val="006C28D4"/>
    <w:rPr>
      <w:color w:val="0000FF" w:themeColor="hyperlink"/>
      <w:u w:val="single"/>
    </w:rPr>
  </w:style>
  <w:style w:type="paragraph" w:customStyle="1" w:styleId="Default">
    <w:name w:val="Default"/>
    <w:rsid w:val="006C28D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04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europa.eu/info/law/better-regulation/initiatives/ares-2017-5809429/public-consultation_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1161</Words>
  <Characters>6387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bthibaut</dc:creator>
  <cp:lastModifiedBy>Bernard ROMAN-AMAT</cp:lastModifiedBy>
  <cp:revision>5</cp:revision>
  <dcterms:created xsi:type="dcterms:W3CDTF">2019-05-07T11:16:00Z</dcterms:created>
  <dcterms:modified xsi:type="dcterms:W3CDTF">2019-05-07T11:25:00Z</dcterms:modified>
</cp:coreProperties>
</file>